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E189" w14:textId="6D0FCFF1" w:rsidR="00526637" w:rsidRPr="00526637" w:rsidRDefault="263506D0" w:rsidP="42F9A142">
      <w:pPr>
        <w:rPr>
          <w:b/>
          <w:bCs/>
        </w:rPr>
      </w:pPr>
      <w:r w:rsidRPr="263506D0">
        <w:rPr>
          <w:b/>
          <w:bCs/>
        </w:rPr>
        <w:t>Tool Utilization Patterns and Diagnostic Outcomes in Robotic-Assisted Bronchoscopy: Insights from the Ion Registry</w:t>
      </w:r>
    </w:p>
    <w:p w14:paraId="5DE3621A" w14:textId="0AA6CDAB" w:rsidR="00526637" w:rsidRPr="00526637" w:rsidRDefault="00526637" w:rsidP="00526637">
      <w:r w:rsidRPr="009F49D3">
        <w:rPr>
          <w:b/>
          <w:bCs/>
        </w:rPr>
        <w:t>Authors:</w:t>
      </w:r>
      <w:r w:rsidR="00340089">
        <w:t xml:space="preserve"> </w:t>
      </w:r>
      <w:r w:rsidR="008C0977" w:rsidRPr="008C0977">
        <w:t>Janani Reisenauer MD</w:t>
      </w:r>
      <w:r w:rsidR="008C0977">
        <w:t>,</w:t>
      </w:r>
      <w:r w:rsidR="008C0977" w:rsidRPr="008C0977">
        <w:t xml:space="preserve"> </w:t>
      </w:r>
      <w:r w:rsidR="009F49D3">
        <w:t>M</w:t>
      </w:r>
      <w:r w:rsidR="00B616D6">
        <w:t xml:space="preserve">aykol </w:t>
      </w:r>
      <w:r w:rsidR="009F49D3">
        <w:t xml:space="preserve">Postigo MD, Robert Byrum </w:t>
      </w:r>
      <w:r w:rsidR="00B616D6">
        <w:t>MD</w:t>
      </w:r>
      <w:r w:rsidR="009F49D3">
        <w:t xml:space="preserve">, Ali Abedi MD, Ali Jiwani MD, Susan Garwood MD, Alberto Revelo MD, Hasnain Bawaadam MD, Bikash Bhattarai MD, Angel Rolando Peralta MD, </w:t>
      </w:r>
      <w:r w:rsidR="008C0977" w:rsidRPr="008C0977">
        <w:t>Scott Oh DO</w:t>
      </w:r>
      <w:r w:rsidR="008C0977">
        <w:t xml:space="preserve">, </w:t>
      </w:r>
      <w:r w:rsidR="008C0977" w:rsidRPr="008C0977">
        <w:t>Michael Pritchett DO, MPH</w:t>
      </w:r>
    </w:p>
    <w:p w14:paraId="6F63A053" w14:textId="77777777" w:rsidR="00B5526D" w:rsidRDefault="00B5526D" w:rsidP="00526637">
      <w:pPr>
        <w:rPr>
          <w:b/>
        </w:rPr>
      </w:pPr>
    </w:p>
    <w:p w14:paraId="77375B4E" w14:textId="4B2BEE59" w:rsidR="00526637" w:rsidRPr="00526637" w:rsidRDefault="00526637" w:rsidP="00526637">
      <w:r w:rsidRPr="00526637">
        <w:rPr>
          <w:b/>
        </w:rPr>
        <w:t>Background:</w:t>
      </w:r>
    </w:p>
    <w:p w14:paraId="49CF59C4" w14:textId="372E12F6" w:rsidR="009A10ED" w:rsidRDefault="561B723A" w:rsidP="00526637">
      <w:r>
        <w:t xml:space="preserve">Robotic-assisted bronchoscopy (RAB) </w:t>
      </w:r>
      <w:r w:rsidR="002A60CE">
        <w:t>enables</w:t>
      </w:r>
      <w:r>
        <w:t xml:space="preserve"> effective </w:t>
      </w:r>
      <w:r w:rsidR="002A60CE">
        <w:t>diagnosis of</w:t>
      </w:r>
      <w:r>
        <w:t xml:space="preserve"> </w:t>
      </w:r>
      <w:r w:rsidR="005C36DA">
        <w:t xml:space="preserve">small </w:t>
      </w:r>
      <w:r>
        <w:t>peripheral pulmonary lesions, offering enhanced navigation and stability.</w:t>
      </w:r>
      <w:r w:rsidRPr="001159AB">
        <w:rPr>
          <w:vertAlign w:val="superscript"/>
        </w:rPr>
        <w:t>1</w:t>
      </w:r>
      <w:r>
        <w:t xml:space="preserve"> </w:t>
      </w:r>
      <w:r w:rsidR="0026172D">
        <w:t xml:space="preserve">However, </w:t>
      </w:r>
      <w:r>
        <w:t xml:space="preserve">multi-center data </w:t>
      </w:r>
      <w:r w:rsidR="002A60CE">
        <w:t xml:space="preserve">on biopsy tool use and its impact on </w:t>
      </w:r>
      <w:r>
        <w:t>diagnostic yield (DY) and molecular adequacy</w:t>
      </w:r>
      <w:r w:rsidR="002A60CE">
        <w:t xml:space="preserve"> remain limited</w:t>
      </w:r>
      <w:r>
        <w:t xml:space="preserve">. Understanding these associations </w:t>
      </w:r>
      <w:r w:rsidR="002A60CE">
        <w:t xml:space="preserve">may </w:t>
      </w:r>
      <w:r>
        <w:t>optimiz</w:t>
      </w:r>
      <w:r w:rsidR="002A60CE">
        <w:t>e</w:t>
      </w:r>
      <w:r>
        <w:t xml:space="preserve"> procedural strategies and improv</w:t>
      </w:r>
      <w:r w:rsidR="002A60CE">
        <w:t>e</w:t>
      </w:r>
      <w:r>
        <w:t xml:space="preserve"> patient outcomes. </w:t>
      </w:r>
    </w:p>
    <w:p w14:paraId="7918B74F" w14:textId="77777777" w:rsidR="00526637" w:rsidRPr="00526637" w:rsidRDefault="00526637" w:rsidP="00526637">
      <w:r w:rsidRPr="00526637">
        <w:rPr>
          <w:b/>
        </w:rPr>
        <w:t>Methods:</w:t>
      </w:r>
    </w:p>
    <w:p w14:paraId="481FDF5B" w14:textId="577292D9" w:rsidR="003B0461" w:rsidRDefault="46F70F2B" w:rsidP="00526637">
      <w:r>
        <w:t xml:space="preserve">The Ion Registry is a prospective, multi-center study </w:t>
      </w:r>
      <w:r w:rsidR="0026172D">
        <w:t xml:space="preserve">for </w:t>
      </w:r>
      <w:r>
        <w:t>shape-sensing RAB (ssRAB) lung nodule biopsy and/or localization. This analysis is of the first 500 enrolled subjects (Sept 2023–June 2024); sixteen were excluded due to</w:t>
      </w:r>
      <w:r w:rsidR="002A60CE">
        <w:t xml:space="preserve"> non-biopsy procedures or </w:t>
      </w:r>
      <w:r w:rsidR="000F1795">
        <w:t>missing</w:t>
      </w:r>
      <w:r w:rsidR="002A60CE">
        <w:t xml:space="preserve"> </w:t>
      </w:r>
      <w:r w:rsidR="000F1795">
        <w:t xml:space="preserve">tool </w:t>
      </w:r>
      <w:r w:rsidR="002A60CE">
        <w:t xml:space="preserve">data. </w:t>
      </w:r>
      <w:r>
        <w:t>Descriptive statistics summarized lesion and procedural characteristics. Tool use, combinations, and molecular adequacy were assessed</w:t>
      </w:r>
      <w:r w:rsidR="0026172D">
        <w:t>;</w:t>
      </w:r>
      <w:r>
        <w:t xml:space="preserve"> </w:t>
      </w:r>
      <w:r w:rsidR="0026172D">
        <w:t>DY</w:t>
      </w:r>
      <w:r>
        <w:t xml:space="preserve"> was stratified by tool type. Lesions were grouped by use of large-sample tools (e.g., cryoprobe, forceps) versus traditional tools (e.g., needle, brush, BAL). Strict DY was</w:t>
      </w:r>
      <w:r w:rsidR="002A60CE">
        <w:t xml:space="preserve"> assessed</w:t>
      </w:r>
      <w:r>
        <w:t xml:space="preserve"> per ATS/ACCP </w:t>
      </w:r>
      <w:r w:rsidR="005C36DA">
        <w:t>recommendations</w:t>
      </w:r>
      <w:r>
        <w:t>.</w:t>
      </w:r>
    </w:p>
    <w:p w14:paraId="004DB327" w14:textId="77777777" w:rsidR="00526637" w:rsidRPr="00526637" w:rsidRDefault="00526637" w:rsidP="00526637">
      <w:r w:rsidRPr="00526637">
        <w:rPr>
          <w:b/>
        </w:rPr>
        <w:t>Results:</w:t>
      </w:r>
    </w:p>
    <w:p w14:paraId="0F75A566" w14:textId="4960FDB8" w:rsidR="00C13C76" w:rsidRPr="00526637" w:rsidRDefault="1C2EC5CA" w:rsidP="00526637">
      <w:r>
        <w:t>484 subjects and 564 lesions</w:t>
      </w:r>
      <w:r w:rsidR="0026172D">
        <w:t xml:space="preserve"> were included</w:t>
      </w:r>
      <w:r>
        <w:t xml:space="preserve">, with a median lesion size of 18.0 mm (IQR: 12.4-27.6). Bronchus sign </w:t>
      </w:r>
      <w:r w:rsidR="0026172D">
        <w:t>was present in</w:t>
      </w:r>
      <w:r>
        <w:t xml:space="preserve"> 52.0% (293/564)</w:t>
      </w:r>
      <w:r w:rsidR="0026172D">
        <w:t>,</w:t>
      </w:r>
      <w:r>
        <w:t xml:space="preserve"> and </w:t>
      </w:r>
      <w:r w:rsidR="0026172D">
        <w:t xml:space="preserve">60% of </w:t>
      </w:r>
      <w:r>
        <w:t xml:space="preserve">lesions were located </w:t>
      </w:r>
      <w:r w:rsidR="0026172D">
        <w:t>in</w:t>
      </w:r>
      <w:r>
        <w:t xml:space="preserve"> the upper lobes (336/564). </w:t>
      </w:r>
      <w:r w:rsidR="0026172D">
        <w:t xml:space="preserve">The most common tool combination (any order) was </w:t>
      </w:r>
      <w:r w:rsidR="005C36DA">
        <w:t xml:space="preserve">biopsy needle, biopsy forceps and mini-bronchoalveolar lavage, </w:t>
      </w:r>
      <w:r>
        <w:t>followed by cryoprobe and needle</w:t>
      </w:r>
      <w:r w:rsidR="00CC6085">
        <w:t>. A</w:t>
      </w:r>
      <w:r>
        <w:t xml:space="preserve"> large-sample tool was used in 95% of </w:t>
      </w:r>
      <w:r w:rsidR="0026172D">
        <w:t>lesions</w:t>
      </w:r>
      <w:r>
        <w:t xml:space="preserve"> where molecular testing was indicated and performed, with a sample adequacy rate of 94.8% (184/194). DY in the large-sample tool cohort was 82.0% (418/510)</w:t>
      </w:r>
      <w:r w:rsidR="00CC6085">
        <w:t xml:space="preserve">. </w:t>
      </w:r>
      <w:r w:rsidR="0026172D">
        <w:t xml:space="preserve">When CBCT was used with large-sample tools, </w:t>
      </w:r>
      <w:r>
        <w:t>DY was 84.4% (276/327), compared to 88.7% (141/159) without CBCT (</w:t>
      </w:r>
      <w:r w:rsidRPr="1C2EC5CA">
        <w:rPr>
          <w:i/>
          <w:iCs/>
        </w:rPr>
        <w:t>p</w:t>
      </w:r>
      <w:r>
        <w:t xml:space="preserve">=0.259).  Use of any size cryoprobe, in the absence of forceps, was associated with a DY of 86.5% (109/126); and </w:t>
      </w:r>
      <w:r w:rsidR="0026172D">
        <w:t>a</w:t>
      </w:r>
      <w:r>
        <w:t xml:space="preserve"> sample adequacy rate of 97.1% (100/103) whe</w:t>
      </w:r>
      <w:r w:rsidR="0026172D">
        <w:t>n</w:t>
      </w:r>
      <w:r>
        <w:t xml:space="preserve"> molecular testing was performed. Use of forceps, in the absence of cryoprobe, was associated with a DY of 80.8% (211/261); and a sample adequacy rate of 93.4% (128/137) whe</w:t>
      </w:r>
      <w:r w:rsidR="0026172D">
        <w:t>n</w:t>
      </w:r>
      <w:r>
        <w:t xml:space="preserve"> molecular testing was </w:t>
      </w:r>
      <w:r>
        <w:lastRenderedPageBreak/>
        <w:t xml:space="preserve">performed. </w:t>
      </w:r>
      <w:r w:rsidR="00CC6085">
        <w:t>The differences in DY (</w:t>
      </w:r>
      <w:r w:rsidR="00CC6085" w:rsidRPr="00CC6085">
        <w:rPr>
          <w:i/>
          <w:iCs/>
        </w:rPr>
        <w:t>p</w:t>
      </w:r>
      <w:r w:rsidR="00CC6085">
        <w:t>=0.168) and sample adequacy rate (</w:t>
      </w:r>
      <w:r w:rsidR="00CC6085" w:rsidRPr="00CC6085">
        <w:rPr>
          <w:i/>
          <w:iCs/>
        </w:rPr>
        <w:t>p</w:t>
      </w:r>
      <w:r w:rsidR="00CC6085">
        <w:t xml:space="preserve">=0.198) were not statistically significant. </w:t>
      </w:r>
      <w:r w:rsidR="0026172D">
        <w:t>Tool-specific DYs (non-exclusive groups) were</w:t>
      </w:r>
      <w:r>
        <w:t>: needle 81.5% (401/492), cryoprobe (any size) 82.7% (206/249), and forceps 80.5% (309/384).</w:t>
      </w:r>
      <w:r w:rsidR="00BB50F5">
        <w:t xml:space="preserve"> </w:t>
      </w:r>
      <w:r w:rsidR="00BB50F5" w:rsidRPr="00BB50F5">
        <w:t>No significant differences were observed between tool</w:t>
      </w:r>
      <w:r w:rsidR="00CC6085">
        <w:t xml:space="preserve"> outcomes</w:t>
      </w:r>
      <w:r w:rsidR="00BB50F5" w:rsidRPr="00BB50F5">
        <w:t>: cryoprobe vs. forceps (</w:t>
      </w:r>
      <w:r w:rsidR="00BB50F5" w:rsidRPr="00BB50F5">
        <w:rPr>
          <w:i/>
          <w:iCs/>
        </w:rPr>
        <w:t>p</w:t>
      </w:r>
      <w:r w:rsidR="00BB50F5" w:rsidRPr="00BB50F5">
        <w:t>= 0.528), needle vs. forceps (</w:t>
      </w:r>
      <w:r w:rsidR="00BB50F5" w:rsidRPr="00BB50F5">
        <w:rPr>
          <w:i/>
          <w:iCs/>
        </w:rPr>
        <w:t>p</w:t>
      </w:r>
      <w:r w:rsidR="00BB50F5">
        <w:t>=</w:t>
      </w:r>
      <w:r w:rsidR="00BB50F5" w:rsidRPr="00BB50F5">
        <w:t>0.713), and needle vs. cryoprobe (</w:t>
      </w:r>
      <w:r w:rsidR="00BB50F5" w:rsidRPr="00BB50F5">
        <w:rPr>
          <w:i/>
          <w:iCs/>
        </w:rPr>
        <w:t>p</w:t>
      </w:r>
      <w:r w:rsidR="00BB50F5" w:rsidRPr="00BB50F5">
        <w:t>=0.714).</w:t>
      </w:r>
    </w:p>
    <w:p w14:paraId="59842BEA" w14:textId="77777777" w:rsidR="00526637" w:rsidRPr="00526637" w:rsidRDefault="00526637" w:rsidP="00526637">
      <w:r w:rsidRPr="00526637">
        <w:rPr>
          <w:b/>
        </w:rPr>
        <w:t>Conclusion:</w:t>
      </w:r>
    </w:p>
    <w:p w14:paraId="18541F67" w14:textId="48F8D454" w:rsidR="0046160D" w:rsidRDefault="4E188A99" w:rsidP="00526637">
      <w:r>
        <w:t>In this preliminary Ion Registry</w:t>
      </w:r>
      <w:r w:rsidR="0026172D">
        <w:t xml:space="preserve"> analysis</w:t>
      </w:r>
      <w:r>
        <w:t>, large-sample biopsy tools were associated with high DY and molecular testing adequacy</w:t>
      </w:r>
      <w:r w:rsidR="002A60CE">
        <w:t>, suggesting enhanced tissue quality and comprehensive diagnosis with ssRAB</w:t>
      </w:r>
      <w:r w:rsidR="00CC6085">
        <w:t xml:space="preserve">. </w:t>
      </w:r>
    </w:p>
    <w:p w14:paraId="45304B50" w14:textId="77777777" w:rsidR="003B0461" w:rsidRPr="00526637" w:rsidRDefault="003B0461" w:rsidP="00526637"/>
    <w:p w14:paraId="0B996734" w14:textId="77777777" w:rsidR="00526637" w:rsidRPr="00526637" w:rsidRDefault="00526637" w:rsidP="00526637">
      <w:pPr>
        <w:rPr>
          <w:lang w:val="fr-FR"/>
        </w:rPr>
      </w:pPr>
      <w:proofErr w:type="spellStart"/>
      <w:r w:rsidRPr="00526637">
        <w:rPr>
          <w:b/>
          <w:lang w:val="fr-FR"/>
        </w:rPr>
        <w:t>References</w:t>
      </w:r>
      <w:proofErr w:type="spellEnd"/>
      <w:r w:rsidRPr="00526637">
        <w:rPr>
          <w:b/>
          <w:lang w:val="fr-FR"/>
        </w:rPr>
        <w:t>:</w:t>
      </w:r>
    </w:p>
    <w:p w14:paraId="73243CCA" w14:textId="1BF00A07" w:rsidR="00526637" w:rsidRPr="00526637" w:rsidRDefault="0019611D" w:rsidP="0019611D">
      <w:pPr>
        <w:pStyle w:val="ListParagraph"/>
        <w:numPr>
          <w:ilvl w:val="0"/>
          <w:numId w:val="1"/>
        </w:numPr>
      </w:pPr>
      <w:r w:rsidRPr="0019611D">
        <w:rPr>
          <w:lang w:val="fr-FR"/>
        </w:rPr>
        <w:t xml:space="preserve">Ali MS, Ghori UK, Wayne DB, et al. </w:t>
      </w:r>
      <w:r w:rsidRPr="0019611D">
        <w:t xml:space="preserve">Diagnostic performance and safety profile of robotic-assisted bronchoscopy: a systematic review and meta-analysis. </w:t>
      </w:r>
      <w:r>
        <w:t xml:space="preserve">2023;20(12)1801-1812. </w:t>
      </w:r>
      <w:r w:rsidRPr="0019611D">
        <w:rPr>
          <w:i/>
          <w:iCs/>
        </w:rPr>
        <w:t xml:space="preserve">Ann Am </w:t>
      </w:r>
      <w:proofErr w:type="spellStart"/>
      <w:r w:rsidRPr="0019611D">
        <w:rPr>
          <w:i/>
          <w:iCs/>
        </w:rPr>
        <w:t>Thorac</w:t>
      </w:r>
      <w:proofErr w:type="spellEnd"/>
      <w:r w:rsidRPr="0019611D">
        <w:rPr>
          <w:i/>
          <w:iCs/>
        </w:rPr>
        <w:t xml:space="preserve"> Soc.</w:t>
      </w:r>
      <w:r w:rsidRPr="0019611D">
        <w:t xml:space="preserve"> </w:t>
      </w:r>
      <w:r>
        <w:t>DOI</w:t>
      </w:r>
      <w:r w:rsidRPr="0019611D">
        <w:t>:10.1513/AnnalsATS.202301-075OC</w:t>
      </w:r>
      <w:r>
        <w:t xml:space="preserve"> </w:t>
      </w:r>
    </w:p>
    <w:p w14:paraId="5249FE37" w14:textId="77777777" w:rsidR="00101044" w:rsidRDefault="00101044" w:rsidP="00101044"/>
    <w:p w14:paraId="09C34A8D" w14:textId="22CBF05D" w:rsidR="00A53B03" w:rsidRPr="00101044" w:rsidRDefault="00A53B03"/>
    <w:sectPr w:rsidR="00A53B03" w:rsidRPr="00101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804F" w14:textId="77777777" w:rsidR="005D293E" w:rsidRDefault="005D293E" w:rsidP="00A502B4">
      <w:pPr>
        <w:spacing w:after="0" w:line="240" w:lineRule="auto"/>
      </w:pPr>
      <w:r>
        <w:separator/>
      </w:r>
    </w:p>
  </w:endnote>
  <w:endnote w:type="continuationSeparator" w:id="0">
    <w:p w14:paraId="0A3799E6" w14:textId="77777777" w:rsidR="005D293E" w:rsidRDefault="005D293E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3989" w14:textId="77777777" w:rsidR="005D293E" w:rsidRDefault="005D293E" w:rsidP="00A502B4">
      <w:pPr>
        <w:spacing w:after="0" w:line="240" w:lineRule="auto"/>
      </w:pPr>
      <w:r>
        <w:separator/>
      </w:r>
    </w:p>
  </w:footnote>
  <w:footnote w:type="continuationSeparator" w:id="0">
    <w:p w14:paraId="02D755C8" w14:textId="77777777" w:rsidR="005D293E" w:rsidRDefault="005D293E" w:rsidP="00A5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A549C"/>
    <w:multiLevelType w:val="hybridMultilevel"/>
    <w:tmpl w:val="973E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133"/>
    <w:multiLevelType w:val="hybridMultilevel"/>
    <w:tmpl w:val="1FFA2EAC"/>
    <w:lvl w:ilvl="0" w:tplc="E84EB1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2C38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7A46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0DAF5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0A7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42E6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D6B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486C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CA00F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422919967">
    <w:abstractNumId w:val="0"/>
  </w:num>
  <w:num w:numId="2" w16cid:durableId="161690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7"/>
    <w:rsid w:val="00022B36"/>
    <w:rsid w:val="00066FE6"/>
    <w:rsid w:val="00084176"/>
    <w:rsid w:val="000D787C"/>
    <w:rsid w:val="000F1795"/>
    <w:rsid w:val="00101044"/>
    <w:rsid w:val="00113016"/>
    <w:rsid w:val="001159AB"/>
    <w:rsid w:val="001170E8"/>
    <w:rsid w:val="00135701"/>
    <w:rsid w:val="00142770"/>
    <w:rsid w:val="001868ED"/>
    <w:rsid w:val="0019611D"/>
    <w:rsid w:val="001D1926"/>
    <w:rsid w:val="00206F6F"/>
    <w:rsid w:val="0026172D"/>
    <w:rsid w:val="00267BBE"/>
    <w:rsid w:val="002A60CE"/>
    <w:rsid w:val="002B2157"/>
    <w:rsid w:val="00306AF5"/>
    <w:rsid w:val="00321E0D"/>
    <w:rsid w:val="00340089"/>
    <w:rsid w:val="00380BFA"/>
    <w:rsid w:val="003A03E4"/>
    <w:rsid w:val="003B0461"/>
    <w:rsid w:val="004005B6"/>
    <w:rsid w:val="00407F9A"/>
    <w:rsid w:val="004264B3"/>
    <w:rsid w:val="004401E5"/>
    <w:rsid w:val="0046160D"/>
    <w:rsid w:val="0048737C"/>
    <w:rsid w:val="004D2756"/>
    <w:rsid w:val="00510BC2"/>
    <w:rsid w:val="00526637"/>
    <w:rsid w:val="00547EC5"/>
    <w:rsid w:val="005B3428"/>
    <w:rsid w:val="005C36DA"/>
    <w:rsid w:val="005D0738"/>
    <w:rsid w:val="005D293E"/>
    <w:rsid w:val="005E613B"/>
    <w:rsid w:val="005E775C"/>
    <w:rsid w:val="005F5036"/>
    <w:rsid w:val="00642D63"/>
    <w:rsid w:val="00652B70"/>
    <w:rsid w:val="00653B2A"/>
    <w:rsid w:val="00673144"/>
    <w:rsid w:val="00694D50"/>
    <w:rsid w:val="00700FC9"/>
    <w:rsid w:val="007220A5"/>
    <w:rsid w:val="0072347E"/>
    <w:rsid w:val="0076034D"/>
    <w:rsid w:val="00767145"/>
    <w:rsid w:val="007D7879"/>
    <w:rsid w:val="00817507"/>
    <w:rsid w:val="00844E80"/>
    <w:rsid w:val="00875AFC"/>
    <w:rsid w:val="008774A7"/>
    <w:rsid w:val="008905B1"/>
    <w:rsid w:val="0089250F"/>
    <w:rsid w:val="00897749"/>
    <w:rsid w:val="008C0977"/>
    <w:rsid w:val="008D4877"/>
    <w:rsid w:val="008E2202"/>
    <w:rsid w:val="009637A5"/>
    <w:rsid w:val="009903FF"/>
    <w:rsid w:val="009948F4"/>
    <w:rsid w:val="009A10ED"/>
    <w:rsid w:val="009F49D3"/>
    <w:rsid w:val="00A502B4"/>
    <w:rsid w:val="00A5334D"/>
    <w:rsid w:val="00A53B03"/>
    <w:rsid w:val="00A8679C"/>
    <w:rsid w:val="00A92108"/>
    <w:rsid w:val="00AB5524"/>
    <w:rsid w:val="00AD2698"/>
    <w:rsid w:val="00B46C4D"/>
    <w:rsid w:val="00B5526D"/>
    <w:rsid w:val="00B616D6"/>
    <w:rsid w:val="00B647B7"/>
    <w:rsid w:val="00B910FD"/>
    <w:rsid w:val="00BB50F5"/>
    <w:rsid w:val="00BD04FF"/>
    <w:rsid w:val="00BD4DD9"/>
    <w:rsid w:val="00BD56BF"/>
    <w:rsid w:val="00BE6B0F"/>
    <w:rsid w:val="00BF260F"/>
    <w:rsid w:val="00C13C76"/>
    <w:rsid w:val="00C34E7F"/>
    <w:rsid w:val="00C450C8"/>
    <w:rsid w:val="00C977E6"/>
    <w:rsid w:val="00CA71E6"/>
    <w:rsid w:val="00CB491B"/>
    <w:rsid w:val="00CC22E7"/>
    <w:rsid w:val="00CC6085"/>
    <w:rsid w:val="00CE5040"/>
    <w:rsid w:val="00D735F0"/>
    <w:rsid w:val="00DA39AB"/>
    <w:rsid w:val="00DD373B"/>
    <w:rsid w:val="00E2447B"/>
    <w:rsid w:val="00E2536E"/>
    <w:rsid w:val="00E64D15"/>
    <w:rsid w:val="00F2052D"/>
    <w:rsid w:val="00F23D3A"/>
    <w:rsid w:val="00F468DC"/>
    <w:rsid w:val="00F57CC5"/>
    <w:rsid w:val="00F72344"/>
    <w:rsid w:val="00F84BB4"/>
    <w:rsid w:val="00FD3803"/>
    <w:rsid w:val="00FF3A73"/>
    <w:rsid w:val="06850AEA"/>
    <w:rsid w:val="19E36CE4"/>
    <w:rsid w:val="1C2EC5CA"/>
    <w:rsid w:val="226D48DE"/>
    <w:rsid w:val="263506D0"/>
    <w:rsid w:val="2A595472"/>
    <w:rsid w:val="32F8A6F2"/>
    <w:rsid w:val="42F9A142"/>
    <w:rsid w:val="46F70F2B"/>
    <w:rsid w:val="4D2E9020"/>
    <w:rsid w:val="4E188A99"/>
    <w:rsid w:val="561B723A"/>
    <w:rsid w:val="590FF370"/>
    <w:rsid w:val="5D392277"/>
    <w:rsid w:val="6A669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F790F"/>
  <w15:chartTrackingRefBased/>
  <w15:docId w15:val="{784FFF11-98AE-44CB-BD58-4A9CE91D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6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character" w:styleId="CommentReference">
    <w:name w:val="annotation reference"/>
    <w:basedOn w:val="DefaultParagraphFont"/>
    <w:uiPriority w:val="99"/>
    <w:semiHidden/>
    <w:unhideWhenUsed/>
    <w:rsid w:val="00A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2AC7-E30B-4F5D-846D-1F346648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2787</Characters>
  <Application>Microsoft Office Word</Application>
  <DocSecurity>4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Intuitive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Golden</dc:creator>
  <cp:keywords/>
  <dc:description/>
  <cp:lastModifiedBy>Heather Golden</cp:lastModifiedBy>
  <cp:revision>2</cp:revision>
  <dcterms:created xsi:type="dcterms:W3CDTF">2025-04-15T03:59:00Z</dcterms:created>
  <dcterms:modified xsi:type="dcterms:W3CDTF">2025-04-15T03:59:00Z</dcterms:modified>
</cp:coreProperties>
</file>